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379E1" w:rsidR="00C774D9" w:rsidRDefault="0047565C" w14:paraId="4F434E3B" w14:textId="577E05A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379E1">
        <w:rPr>
          <w:rFonts w:ascii="Arial" w:hAnsi="Arial" w:cs="Arial"/>
          <w:b/>
          <w:bCs/>
          <w:sz w:val="28"/>
          <w:szCs w:val="28"/>
          <w:u w:val="single"/>
        </w:rPr>
        <w:t xml:space="preserve">Changes introduced in CDS release </w:t>
      </w:r>
      <w:r w:rsidR="0057675E">
        <w:rPr>
          <w:rFonts w:ascii="Arial" w:hAnsi="Arial" w:cs="Arial"/>
          <w:b/>
          <w:bCs/>
          <w:sz w:val="28"/>
          <w:szCs w:val="28"/>
          <w:u w:val="single"/>
        </w:rPr>
        <w:t>4.6.1</w:t>
      </w:r>
      <w:r w:rsidRPr="00C379E1" w:rsidR="009B28D7">
        <w:rPr>
          <w:rFonts w:ascii="Arial" w:hAnsi="Arial" w:cs="Arial"/>
          <w:b/>
          <w:bCs/>
          <w:sz w:val="28"/>
          <w:szCs w:val="28"/>
          <w:u w:val="single"/>
        </w:rPr>
        <w:t xml:space="preserve"> (</w:t>
      </w:r>
      <w:r w:rsidR="0057675E">
        <w:rPr>
          <w:rFonts w:ascii="Arial" w:hAnsi="Arial" w:cs="Arial"/>
          <w:b/>
          <w:bCs/>
          <w:sz w:val="28"/>
          <w:szCs w:val="28"/>
          <w:u w:val="single"/>
        </w:rPr>
        <w:t>14</w:t>
      </w:r>
      <w:r w:rsidRPr="0057675E" w:rsidR="0057675E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57675E">
        <w:rPr>
          <w:rFonts w:ascii="Arial" w:hAnsi="Arial" w:cs="Arial"/>
          <w:b/>
          <w:bCs/>
          <w:sz w:val="28"/>
          <w:szCs w:val="28"/>
          <w:u w:val="single"/>
        </w:rPr>
        <w:t xml:space="preserve"> December 2024</w:t>
      </w:r>
      <w:r w:rsidRPr="00C379E1" w:rsidR="009B28D7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1767"/>
        <w:gridCol w:w="8991"/>
      </w:tblGrid>
      <w:tr w:rsidRPr="00C379E1" w:rsidR="002C415D" w:rsidTr="007D3C2C" w14:paraId="4F434E3E" w14:textId="77777777">
        <w:trPr>
          <w:cantSplit/>
          <w:trHeight w:val="570"/>
          <w:tblHeader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79E1" w:rsidR="002C415D" w:rsidRDefault="002C415D" w14:paraId="4F434E3C" w14:textId="7777777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379E1">
              <w:rPr>
                <w:rFonts w:ascii="Arial" w:hAnsi="Arial" w:cs="Arial"/>
                <w:b/>
                <w:bCs/>
              </w:rPr>
              <w:t>CDS Change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379E1" w:rsidR="002C415D" w:rsidRDefault="002C415D" w14:paraId="57C84462" w14:textId="5642526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379E1">
              <w:rPr>
                <w:rFonts w:ascii="Arial" w:hAnsi="Arial" w:cs="Arial"/>
                <w:b/>
                <w:bCs/>
              </w:rPr>
              <w:t>Movement Type</w:t>
            </w:r>
          </w:p>
        </w:tc>
        <w:tc>
          <w:tcPr>
            <w:tcW w:w="8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79E1" w:rsidR="002C415D" w:rsidRDefault="002C415D" w14:paraId="4F434E3D" w14:textId="1F6A9AF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379E1">
              <w:rPr>
                <w:rFonts w:ascii="Arial" w:hAnsi="Arial" w:cs="Arial"/>
                <w:b/>
                <w:bCs/>
              </w:rPr>
              <w:t>Declaration Completion Instructions</w:t>
            </w:r>
          </w:p>
        </w:tc>
      </w:tr>
      <w:tr w:rsidRPr="00C379E1" w:rsidR="002753D1" w:rsidTr="007D3C2C" w14:paraId="4F434E42" w14:textId="77777777">
        <w:trPr>
          <w:cantSplit/>
          <w:trHeight w:val="945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79E1" w:rsidR="002753D1" w:rsidP="002753D1" w:rsidRDefault="002753D1" w14:paraId="4F434E40" w14:textId="61424CD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Code 9081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379E1" w:rsidR="002753D1" w:rsidP="002753D1" w:rsidRDefault="002753D1" w14:paraId="7AF8626E" w14:textId="478A4E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Imports</w:t>
            </w:r>
          </w:p>
        </w:tc>
        <w:tc>
          <w:tcPr>
            <w:tcW w:w="8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D1" w:rsidP="002753D1" w:rsidRDefault="0069616E" w14:paraId="35882534" w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enable traders to differentiate claims to preference under the terms of the Comprehensive </w:t>
            </w:r>
            <w:r w:rsidR="00B83672">
              <w:rPr>
                <w:rFonts w:ascii="Arial" w:hAnsi="Arial" w:cs="Arial"/>
              </w:rPr>
              <w:t xml:space="preserve">and Progressive </w:t>
            </w:r>
            <w:r w:rsidR="00DA7B7C">
              <w:rPr>
                <w:rFonts w:ascii="Arial" w:hAnsi="Arial" w:cs="Arial"/>
              </w:rPr>
              <w:t>Agreement for Trans-Pacific Partnership (CPTPP)</w:t>
            </w:r>
            <w:r w:rsidR="00B83672">
              <w:rPr>
                <w:rFonts w:ascii="Arial" w:hAnsi="Arial" w:cs="Arial"/>
              </w:rPr>
              <w:t>, d</w:t>
            </w:r>
            <w:r w:rsidR="002753D1">
              <w:rPr>
                <w:rFonts w:ascii="Arial" w:hAnsi="Arial" w:cs="Arial"/>
              </w:rPr>
              <w:t>ocument code 9081 has been introduced</w:t>
            </w:r>
            <w:r w:rsidR="00DA7B7C">
              <w:rPr>
                <w:rFonts w:ascii="Arial" w:hAnsi="Arial" w:cs="Arial"/>
              </w:rPr>
              <w:t>.</w:t>
            </w:r>
          </w:p>
          <w:p w:rsidR="00DA7B7C" w:rsidP="002753D1" w:rsidRDefault="00DA7B7C" w14:paraId="27730167" w14:textId="77777777">
            <w:pPr>
              <w:spacing w:after="0"/>
              <w:rPr>
                <w:rFonts w:ascii="Arial" w:hAnsi="Arial" w:cs="Arial"/>
              </w:rPr>
            </w:pPr>
          </w:p>
          <w:p w:rsidR="00DA7B7C" w:rsidP="00164514" w:rsidRDefault="005D64C4" w14:paraId="02F6BFA5" w14:textId="291219CF">
            <w:pPr>
              <w:spacing w:after="0"/>
              <w:rPr>
                <w:rFonts w:ascii="Arial" w:hAnsi="Arial" w:cs="Arial"/>
              </w:rPr>
            </w:pPr>
            <w:r w:rsidRPr="00164514">
              <w:rPr>
                <w:rFonts w:ascii="Arial" w:hAnsi="Arial" w:cs="Arial"/>
              </w:rPr>
              <w:t xml:space="preserve">When making a claim to preference </w:t>
            </w:r>
            <w:r w:rsidRPr="00164514" w:rsidR="0044377E">
              <w:rPr>
                <w:rFonts w:ascii="Arial" w:hAnsi="Arial" w:cs="Arial"/>
              </w:rPr>
              <w:t xml:space="preserve">under </w:t>
            </w:r>
            <w:r w:rsidRPr="00164514" w:rsidR="00164514">
              <w:rPr>
                <w:rFonts w:ascii="Arial" w:hAnsi="Arial" w:cs="Arial"/>
              </w:rPr>
              <w:t xml:space="preserve">the CPTPP, the following </w:t>
            </w:r>
            <w:r w:rsidR="001B1967">
              <w:rPr>
                <w:rFonts w:ascii="Arial" w:hAnsi="Arial" w:cs="Arial"/>
              </w:rPr>
              <w:t>information</w:t>
            </w:r>
            <w:r w:rsidRPr="00164514" w:rsidR="00164514">
              <w:rPr>
                <w:rFonts w:ascii="Arial" w:hAnsi="Arial" w:cs="Arial"/>
              </w:rPr>
              <w:t xml:space="preserve"> should be completed</w:t>
            </w:r>
            <w:r w:rsidR="001B1967">
              <w:rPr>
                <w:rFonts w:ascii="Arial" w:hAnsi="Arial" w:cs="Arial"/>
              </w:rPr>
              <w:t xml:space="preserve"> on the declaration</w:t>
            </w:r>
            <w:r w:rsidRPr="00164514" w:rsidR="00164514">
              <w:rPr>
                <w:rFonts w:ascii="Arial" w:hAnsi="Arial" w:cs="Arial"/>
              </w:rPr>
              <w:t>:</w:t>
            </w:r>
          </w:p>
          <w:p w:rsidR="00164514" w:rsidP="00164514" w:rsidRDefault="001B1967" w14:paraId="15BBC4DB" w14:textId="6D37857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 code 9081 </w:t>
            </w:r>
            <w:r w:rsidR="00C527C3">
              <w:rPr>
                <w:rFonts w:ascii="Arial" w:hAnsi="Arial" w:cs="Arial"/>
              </w:rPr>
              <w:t>in Data Element (DE) 2/</w:t>
            </w:r>
            <w:r w:rsidR="00691FD1">
              <w:rPr>
                <w:rFonts w:ascii="Arial" w:hAnsi="Arial" w:cs="Arial"/>
              </w:rPr>
              <w:t>3</w:t>
            </w:r>
          </w:p>
          <w:p w:rsidR="00DC6A0C" w:rsidP="00164514" w:rsidRDefault="00C527C3" w14:paraId="5587B208" w14:textId="58F1F794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of the following </w:t>
            </w:r>
            <w:r w:rsidR="00B35CA6">
              <w:rPr>
                <w:rFonts w:ascii="Arial" w:hAnsi="Arial" w:cs="Arial"/>
              </w:rPr>
              <w:t xml:space="preserve">preference </w:t>
            </w:r>
            <w:r>
              <w:rPr>
                <w:rFonts w:ascii="Arial" w:hAnsi="Arial" w:cs="Arial"/>
              </w:rPr>
              <w:t>document codes in DE 2/</w:t>
            </w:r>
            <w:r w:rsidR="00691FD1">
              <w:rPr>
                <w:rFonts w:ascii="Arial" w:hAnsi="Arial" w:cs="Arial"/>
              </w:rPr>
              <w:t>3</w:t>
            </w:r>
            <w:r w:rsidR="00DC6A0C">
              <w:rPr>
                <w:rFonts w:ascii="Arial" w:hAnsi="Arial" w:cs="Arial"/>
              </w:rPr>
              <w:t>: U110, U111, U112</w:t>
            </w:r>
            <w:r w:rsidR="008B07DB">
              <w:rPr>
                <w:rFonts w:ascii="Arial" w:hAnsi="Arial" w:cs="Arial"/>
              </w:rPr>
              <w:t>, 9U01, 9U02, 9U03</w:t>
            </w:r>
          </w:p>
          <w:p w:rsidR="007C5632" w:rsidP="00164514" w:rsidRDefault="00DC6A0C" w14:paraId="153AB6E8" w14:textId="10B4B5D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preference code beginning with ‘3’ in </w:t>
            </w:r>
            <w:r w:rsidR="007C5632">
              <w:rPr>
                <w:rFonts w:ascii="Arial" w:hAnsi="Arial" w:cs="Arial"/>
              </w:rPr>
              <w:t>DE 4/17 (for example, 300</w:t>
            </w:r>
            <w:r w:rsidR="002439F8">
              <w:rPr>
                <w:rFonts w:ascii="Arial" w:hAnsi="Arial" w:cs="Arial"/>
              </w:rPr>
              <w:t>, 320, and so on)</w:t>
            </w:r>
          </w:p>
          <w:p w:rsidR="00C527C3" w:rsidP="00164514" w:rsidRDefault="007C5632" w14:paraId="3CBA7575" w14:textId="7777777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2-digit country code </w:t>
            </w:r>
            <w:r w:rsidR="002439F8">
              <w:rPr>
                <w:rFonts w:ascii="Arial" w:hAnsi="Arial" w:cs="Arial"/>
              </w:rPr>
              <w:t xml:space="preserve">belonging to the country the goods are being imported from in DE </w:t>
            </w:r>
            <w:r w:rsidR="009A1127">
              <w:rPr>
                <w:rFonts w:ascii="Arial" w:hAnsi="Arial" w:cs="Arial"/>
              </w:rPr>
              <w:t>5/16</w:t>
            </w:r>
          </w:p>
          <w:p w:rsidR="009A1127" w:rsidP="009A1127" w:rsidRDefault="009A1127" w14:paraId="552E75CF" w14:textId="77777777">
            <w:pPr>
              <w:spacing w:after="0"/>
              <w:rPr>
                <w:rFonts w:ascii="Arial" w:hAnsi="Arial" w:cs="Arial"/>
              </w:rPr>
            </w:pPr>
          </w:p>
          <w:p w:rsidRPr="009A1127" w:rsidR="00F57501" w:rsidP="009A1127" w:rsidRDefault="00A373E3" w14:paraId="4F434E41" w14:textId="2C32341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Failure to complete all of these Data Elements may result in the declaration being rejected</w:t>
            </w:r>
            <w:r w:rsidR="00070B7A">
              <w:rPr>
                <w:rFonts w:ascii="Arial" w:hAnsi="Arial" w:cs="Arial"/>
              </w:rPr>
              <w:t>.</w:t>
            </w:r>
          </w:p>
        </w:tc>
      </w:tr>
      <w:tr w:rsidRPr="00C379E1" w:rsidR="0087589E" w:rsidTr="007D3C2C" w14:paraId="5352FD4E" w14:textId="77777777">
        <w:trPr>
          <w:cantSplit/>
          <w:trHeight w:val="1140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79E1" w:rsidR="0087589E" w:rsidP="0087589E" w:rsidRDefault="0087589E" w14:paraId="4CAAAA78" w14:textId="2EA3D1F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Code Y100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379E1" w:rsidR="0087589E" w:rsidP="0087589E" w:rsidRDefault="0087589E" w14:paraId="4A5A952F" w14:textId="5DBBC3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</w:t>
            </w:r>
          </w:p>
        </w:tc>
        <w:tc>
          <w:tcPr>
            <w:tcW w:w="8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9E" w:rsidP="0087589E" w:rsidRDefault="0087589E" w14:paraId="07444739" w14:textId="77777777">
            <w:pPr>
              <w:spacing w:after="0"/>
              <w:rPr>
                <w:rFonts w:ascii="Arial" w:hAnsi="Arial" w:cs="Arial"/>
              </w:rPr>
            </w:pPr>
            <w:r w:rsidRPr="00801879">
              <w:rPr>
                <w:rFonts w:ascii="Arial" w:hAnsi="Arial" w:cs="Arial"/>
              </w:rPr>
              <w:t xml:space="preserve">The way in which RPA licence administered quotas are declared to HMRC will be changing after 14th December 2024. </w:t>
            </w:r>
          </w:p>
          <w:p w:rsidR="0087589E" w:rsidP="0087589E" w:rsidRDefault="0087589E" w14:paraId="616D1266" w14:textId="77777777">
            <w:pPr>
              <w:spacing w:after="0"/>
              <w:rPr>
                <w:rFonts w:ascii="Arial" w:hAnsi="Arial" w:cs="Arial"/>
              </w:rPr>
            </w:pPr>
          </w:p>
          <w:p w:rsidR="0087589E" w:rsidP="0087589E" w:rsidRDefault="0087589E" w14:paraId="3067B1D7" w14:textId="77777777">
            <w:pPr>
              <w:spacing w:after="0"/>
              <w:rPr>
                <w:rFonts w:ascii="Arial" w:hAnsi="Arial" w:cs="Arial"/>
              </w:rPr>
            </w:pPr>
            <w:r w:rsidRPr="00801879">
              <w:rPr>
                <w:rFonts w:ascii="Arial" w:hAnsi="Arial" w:cs="Arial"/>
              </w:rPr>
              <w:t xml:space="preserve">In addition to declaring document code L001 with the RPA licence identification in DE 2/3 and the appropriate quota order number in DE 8/1, it will be necessary to declare document code Y100 in DE 2/3. </w:t>
            </w:r>
          </w:p>
          <w:p w:rsidR="0087589E" w:rsidP="0087589E" w:rsidRDefault="0087589E" w14:paraId="151E5655" w14:textId="77777777">
            <w:pPr>
              <w:spacing w:after="0"/>
              <w:rPr>
                <w:rFonts w:ascii="Arial" w:hAnsi="Arial" w:cs="Arial"/>
              </w:rPr>
            </w:pPr>
          </w:p>
          <w:p w:rsidR="0087589E" w:rsidP="0087589E" w:rsidRDefault="0087589E" w14:paraId="47E2AA75" w14:textId="028532B6">
            <w:pPr>
              <w:spacing w:after="0"/>
              <w:rPr>
                <w:rFonts w:ascii="Arial" w:hAnsi="Arial" w:cs="Arial"/>
              </w:rPr>
            </w:pPr>
            <w:r w:rsidRPr="00801879">
              <w:rPr>
                <w:rFonts w:ascii="Arial" w:hAnsi="Arial" w:cs="Arial"/>
              </w:rPr>
              <w:t>The document</w:t>
            </w:r>
            <w:r w:rsidR="001A6AF2">
              <w:rPr>
                <w:rFonts w:ascii="Arial" w:hAnsi="Arial" w:cs="Arial"/>
              </w:rPr>
              <w:t xml:space="preserve"> </w:t>
            </w:r>
            <w:r w:rsidRPr="00801879">
              <w:rPr>
                <w:rFonts w:ascii="Arial" w:hAnsi="Arial" w:cs="Arial"/>
              </w:rPr>
              <w:t xml:space="preserve">reason field against Y100 in DE 2/3 should be completed with the text ‘Quota’. </w:t>
            </w:r>
          </w:p>
          <w:p w:rsidR="0087589E" w:rsidP="0087589E" w:rsidRDefault="0087589E" w14:paraId="5DB23174" w14:textId="77777777">
            <w:pPr>
              <w:spacing w:after="0"/>
              <w:rPr>
                <w:rFonts w:ascii="Arial" w:hAnsi="Arial" w:cs="Arial"/>
              </w:rPr>
            </w:pPr>
          </w:p>
          <w:p w:rsidRPr="00C379E1" w:rsidR="0087589E" w:rsidP="0087589E" w:rsidRDefault="0087589E" w14:paraId="101A12E1" w14:textId="18201F03">
            <w:pPr>
              <w:spacing w:after="0"/>
              <w:rPr>
                <w:rFonts w:ascii="Arial" w:hAnsi="Arial" w:cs="Arial"/>
              </w:rPr>
            </w:pPr>
            <w:r w:rsidRPr="00801879">
              <w:rPr>
                <w:rFonts w:ascii="Arial" w:hAnsi="Arial" w:cs="Arial"/>
              </w:rPr>
              <w:t>This change does not impact on declaration of RPA licences which are not being used for claiming a quota. It also does not impact on quota claims which are not linked to use of an RPA licence.</w:t>
            </w:r>
          </w:p>
        </w:tc>
      </w:tr>
      <w:tr w:rsidRPr="00C379E1" w:rsidR="00053288" w:rsidTr="007D3C2C" w14:paraId="079511A3" w14:textId="77777777">
        <w:trPr>
          <w:cantSplit/>
          <w:trHeight w:val="966"/>
        </w:trPr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379E1" w:rsidR="00053288" w:rsidP="00053288" w:rsidRDefault="00053288" w14:paraId="181D6F95" w14:textId="119D52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Electronic cigarettes and Similar Devices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379E1" w:rsidR="00053288" w:rsidP="00053288" w:rsidRDefault="00053288" w14:paraId="3C4E53B6" w14:textId="5B60999A">
            <w:pPr>
              <w:spacing w:after="0"/>
              <w:rPr>
                <w:rFonts w:ascii="Arial" w:hAnsi="Arial" w:cs="Arial"/>
              </w:rPr>
            </w:pPr>
            <w:r w:rsidRPr="00424304">
              <w:rPr>
                <w:rFonts w:ascii="Arial" w:hAnsi="Arial" w:cs="Arial"/>
              </w:rPr>
              <w:t>Imports</w:t>
            </w:r>
          </w:p>
        </w:tc>
        <w:tc>
          <w:tcPr>
            <w:tcW w:w="8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B0F" w:rsidP="00053288" w:rsidRDefault="00386089" w14:paraId="488DDDBE" w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new tax type, 640, and National Additional Code, X640, are being introduced </w:t>
            </w:r>
            <w:r w:rsidR="001D7B0F">
              <w:rPr>
                <w:rFonts w:ascii="Arial" w:hAnsi="Arial" w:cs="Arial"/>
              </w:rPr>
              <w:t>for</w:t>
            </w:r>
            <w:r w:rsidRPr="00424304" w:rsidR="00053288">
              <w:rPr>
                <w:rFonts w:ascii="Arial" w:hAnsi="Arial" w:cs="Arial"/>
              </w:rPr>
              <w:t xml:space="preserve"> </w:t>
            </w:r>
            <w:r w:rsidR="001D7B0F">
              <w:rPr>
                <w:rFonts w:ascii="Arial" w:hAnsi="Arial" w:cs="Arial"/>
              </w:rPr>
              <w:t>commod</w:t>
            </w:r>
            <w:r w:rsidRPr="00424304" w:rsidR="00053288">
              <w:rPr>
                <w:rFonts w:ascii="Arial" w:hAnsi="Arial" w:cs="Arial"/>
              </w:rPr>
              <w:t xml:space="preserve">ity code </w:t>
            </w:r>
            <w:bookmarkStart w:name="_Hlk184033056" w:id="0"/>
            <w:r w:rsidRPr="00424304" w:rsidR="00053288">
              <w:rPr>
                <w:rFonts w:ascii="Arial" w:hAnsi="Arial" w:cs="Arial"/>
              </w:rPr>
              <w:t>8543400000</w:t>
            </w:r>
            <w:bookmarkEnd w:id="0"/>
            <w:r w:rsidR="001D7B0F">
              <w:rPr>
                <w:rFonts w:ascii="Arial" w:hAnsi="Arial" w:cs="Arial"/>
              </w:rPr>
              <w:t xml:space="preserve"> (</w:t>
            </w:r>
            <w:r w:rsidRPr="00424304" w:rsidR="001D7B0F">
              <w:rPr>
                <w:rFonts w:ascii="Arial" w:hAnsi="Arial" w:cs="Arial"/>
              </w:rPr>
              <w:t>electronic devices for smoking or vaping</w:t>
            </w:r>
            <w:r w:rsidR="001D7B0F">
              <w:rPr>
                <w:rFonts w:ascii="Arial" w:hAnsi="Arial" w:cs="Arial"/>
              </w:rPr>
              <w:t>)</w:t>
            </w:r>
          </w:p>
          <w:p w:rsidR="001D7B0F" w:rsidP="00053288" w:rsidRDefault="001D7B0F" w14:paraId="2FCBD746" w14:textId="77777777">
            <w:pPr>
              <w:spacing w:after="0"/>
              <w:rPr>
                <w:rFonts w:ascii="Arial" w:hAnsi="Arial" w:cs="Arial"/>
              </w:rPr>
            </w:pPr>
          </w:p>
          <w:p w:rsidR="00053288" w:rsidP="00053288" w:rsidRDefault="001D7B0F" w14:paraId="23F19897" w14:textId="79B13B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declaring goods</w:t>
            </w:r>
            <w:r w:rsidR="009B062E">
              <w:rPr>
                <w:rFonts w:ascii="Arial" w:hAnsi="Arial" w:cs="Arial"/>
              </w:rPr>
              <w:t xml:space="preserve"> under this commodity code,</w:t>
            </w:r>
            <w:r w:rsidRPr="00424304" w:rsidR="00053288">
              <w:rPr>
                <w:rFonts w:ascii="Arial" w:hAnsi="Arial" w:cs="Arial"/>
              </w:rPr>
              <w:t xml:space="preserve"> the</w:t>
            </w:r>
            <w:r w:rsidR="004D7376">
              <w:rPr>
                <w:rFonts w:ascii="Arial" w:hAnsi="Arial" w:cs="Arial"/>
              </w:rPr>
              <w:t xml:space="preserve"> declaration requirements change depending on whether the goods will attract excise duty</w:t>
            </w:r>
            <w:r w:rsidR="001D5F22">
              <w:rPr>
                <w:rFonts w:ascii="Arial" w:hAnsi="Arial" w:cs="Arial"/>
              </w:rPr>
              <w:t>.</w:t>
            </w:r>
          </w:p>
          <w:p w:rsidR="003D0C74" w:rsidP="00053288" w:rsidRDefault="003D0C74" w14:paraId="479EEA31" w14:textId="77777777">
            <w:pPr>
              <w:spacing w:after="0"/>
              <w:rPr>
                <w:rFonts w:ascii="Arial" w:hAnsi="Arial" w:cs="Arial"/>
              </w:rPr>
            </w:pPr>
          </w:p>
          <w:p w:rsidR="00053288" w:rsidP="00053288" w:rsidRDefault="00053288" w14:paraId="1C9B1F5C" w14:textId="1D3ABA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electronic devices that attract excise duty (for example, devices containing tobacco), </w:t>
            </w:r>
            <w:r w:rsidR="00E90974">
              <w:rPr>
                <w:rFonts w:ascii="Arial" w:hAnsi="Arial" w:cs="Arial"/>
              </w:rPr>
              <w:t xml:space="preserve">the following </w:t>
            </w:r>
            <w:r w:rsidR="00C27F0C">
              <w:rPr>
                <w:rFonts w:ascii="Arial" w:hAnsi="Arial" w:cs="Arial"/>
              </w:rPr>
              <w:t>D</w:t>
            </w:r>
            <w:r w:rsidR="00A9418A">
              <w:rPr>
                <w:rFonts w:ascii="Arial" w:hAnsi="Arial" w:cs="Arial"/>
              </w:rPr>
              <w:t xml:space="preserve">ata </w:t>
            </w:r>
            <w:r w:rsidR="00C27F0C">
              <w:rPr>
                <w:rFonts w:ascii="Arial" w:hAnsi="Arial" w:cs="Arial"/>
              </w:rPr>
              <w:t>E</w:t>
            </w:r>
            <w:r w:rsidR="00A9418A">
              <w:rPr>
                <w:rFonts w:ascii="Arial" w:hAnsi="Arial" w:cs="Arial"/>
              </w:rPr>
              <w:t>lements should be completed:</w:t>
            </w:r>
          </w:p>
          <w:p w:rsidR="008E1E40" w:rsidP="00A9418A" w:rsidRDefault="00434CA9" w14:paraId="5576EB58" w14:textId="7777777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type 633 should be declared in DE</w:t>
            </w:r>
            <w:r w:rsidR="00D56CD5">
              <w:rPr>
                <w:rFonts w:ascii="Arial" w:hAnsi="Arial" w:cs="Arial"/>
              </w:rPr>
              <w:t xml:space="preserve"> </w:t>
            </w:r>
            <w:r w:rsidR="0036440D">
              <w:rPr>
                <w:rFonts w:ascii="Arial" w:hAnsi="Arial" w:cs="Arial"/>
              </w:rPr>
              <w:t>4/3</w:t>
            </w:r>
          </w:p>
          <w:p w:rsidR="0036440D" w:rsidP="00A9418A" w:rsidRDefault="0036440D" w14:paraId="30BE36F8" w14:textId="7777777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measurement unit code </w:t>
            </w:r>
            <w:r w:rsidR="00B73D5A">
              <w:rPr>
                <w:rFonts w:ascii="Arial" w:hAnsi="Arial" w:cs="Arial"/>
              </w:rPr>
              <w:t>to indicate the mass of tobacco in the goods should be declared</w:t>
            </w:r>
            <w:r w:rsidR="00B13B98">
              <w:rPr>
                <w:rFonts w:ascii="Arial" w:hAnsi="Arial" w:cs="Arial"/>
              </w:rPr>
              <w:t xml:space="preserve"> in DE 4/4.  This should be one of:</w:t>
            </w:r>
          </w:p>
          <w:p w:rsidR="00B13B98" w:rsidP="00B13B98" w:rsidRDefault="00157488" w14:paraId="76B76BDA" w14:textId="77777777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KTC – Kilograms of tobacco</w:t>
            </w:r>
          </w:p>
          <w:p w:rsidR="00157488" w:rsidP="00B13B98" w:rsidRDefault="00157488" w14:paraId="10BBD65A" w14:textId="77777777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CTG – Content (tobacco) grams</w:t>
            </w:r>
          </w:p>
          <w:p w:rsidRPr="00AC22CD" w:rsidR="00AC22CD" w:rsidP="00AC22CD" w:rsidRDefault="00AC22CD" w14:paraId="1D40704E" w14:textId="1E0E322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Additional Code X633 should be declared in DE 6/17</w:t>
            </w:r>
          </w:p>
          <w:p w:rsidR="00927650" w:rsidP="00C02BF5" w:rsidRDefault="00927650" w14:paraId="6BE91A07" w14:textId="77777777">
            <w:pPr>
              <w:spacing w:after="0"/>
              <w:rPr>
                <w:rFonts w:ascii="Arial" w:hAnsi="Arial" w:cs="Arial"/>
              </w:rPr>
            </w:pPr>
          </w:p>
          <w:p w:rsidR="00C02BF5" w:rsidP="00C02BF5" w:rsidRDefault="00EA1C2C" w14:paraId="06D9237E" w14:textId="710DF07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Failure to declare the KTC or CTG </w:t>
            </w:r>
            <w:r w:rsidR="00927650">
              <w:rPr>
                <w:rFonts w:ascii="Arial" w:hAnsi="Arial" w:cs="Arial"/>
              </w:rPr>
              <w:t>measurement</w:t>
            </w:r>
            <w:r>
              <w:rPr>
                <w:rFonts w:ascii="Arial" w:hAnsi="Arial" w:cs="Arial"/>
              </w:rPr>
              <w:t xml:space="preserve"> unit</w:t>
            </w:r>
            <w:r w:rsidR="00927650">
              <w:rPr>
                <w:rFonts w:ascii="Arial" w:hAnsi="Arial" w:cs="Arial"/>
              </w:rPr>
              <w:t xml:space="preserve"> alongside National Additional Code X633 and tax type 633 will result in the declaration being rejected.</w:t>
            </w:r>
          </w:p>
          <w:p w:rsidR="00927650" w:rsidP="00C02BF5" w:rsidRDefault="00927650" w14:paraId="74F7E2C7" w14:textId="77777777">
            <w:pPr>
              <w:spacing w:after="0"/>
              <w:rPr>
                <w:rFonts w:ascii="Arial" w:hAnsi="Arial" w:cs="Arial"/>
              </w:rPr>
            </w:pPr>
          </w:p>
          <w:p w:rsidR="00927650" w:rsidP="00C02BF5" w:rsidRDefault="006D4A11" w14:paraId="520856A4" w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electronic devices that do not contain tobacco and do not </w:t>
            </w:r>
            <w:r w:rsidR="008843CC">
              <w:rPr>
                <w:rFonts w:ascii="Arial" w:hAnsi="Arial" w:cs="Arial"/>
              </w:rPr>
              <w:t>attract excise duty</w:t>
            </w:r>
            <w:r w:rsidR="00F32B52">
              <w:rPr>
                <w:rFonts w:ascii="Arial" w:hAnsi="Arial" w:cs="Arial"/>
              </w:rPr>
              <w:t>, the following Data Elements should be completed</w:t>
            </w:r>
            <w:r w:rsidR="006760FB">
              <w:rPr>
                <w:rFonts w:ascii="Arial" w:hAnsi="Arial" w:cs="Arial"/>
              </w:rPr>
              <w:t>:</w:t>
            </w:r>
          </w:p>
          <w:p w:rsidR="00AE7D58" w:rsidP="006760FB" w:rsidRDefault="00AE7D58" w14:paraId="2E220282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Tax type </w:t>
            </w:r>
            <w:r w:rsidR="00907A0D">
              <w:rPr>
                <w:rFonts w:ascii="Arial" w:hAnsi="Arial" w:cs="Arial"/>
              </w:rPr>
              <w:t xml:space="preserve">640 should be declared in DE </w:t>
            </w:r>
            <w:r w:rsidR="00AC22CD">
              <w:rPr>
                <w:rFonts w:ascii="Arial" w:hAnsi="Arial" w:cs="Arial"/>
              </w:rPr>
              <w:t>4/3</w:t>
            </w:r>
          </w:p>
          <w:p w:rsidR="00AC22CD" w:rsidP="00AC22CD" w:rsidRDefault="00AC22CD" w14:paraId="53DED0C1" w14:textId="7777777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Additional Code X640 should be declared in DE 6/17</w:t>
            </w:r>
          </w:p>
          <w:p w:rsidR="00AC22CD" w:rsidP="00CD115F" w:rsidRDefault="00AC22CD" w14:paraId="01AFE487" w14:textId="77777777">
            <w:pPr>
              <w:spacing w:after="0"/>
              <w:rPr>
                <w:rFonts w:ascii="Arial" w:hAnsi="Arial" w:cs="Arial"/>
              </w:rPr>
            </w:pPr>
          </w:p>
          <w:p w:rsidR="00E960D8" w:rsidP="00CD115F" w:rsidRDefault="00E960D8" w14:paraId="7BDA4F1B" w14:textId="31472EE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Measurement units KTC or CTG </w:t>
            </w:r>
            <w:r w:rsidR="00C25010">
              <w:rPr>
                <w:rFonts w:ascii="Arial" w:hAnsi="Arial" w:cs="Arial"/>
              </w:rPr>
              <w:t xml:space="preserve">must not be declared </w:t>
            </w:r>
            <w:r w:rsidR="00BF79DC">
              <w:rPr>
                <w:rFonts w:ascii="Arial" w:hAnsi="Arial" w:cs="Arial"/>
              </w:rPr>
              <w:t xml:space="preserve">in DE 4/4 when tax type 640 and National Additional code X640 are </w:t>
            </w:r>
            <w:proofErr w:type="gramStart"/>
            <w:r w:rsidR="00BF79DC">
              <w:rPr>
                <w:rFonts w:ascii="Arial" w:hAnsi="Arial" w:cs="Arial"/>
              </w:rPr>
              <w:t>declared</w:t>
            </w:r>
            <w:proofErr w:type="gramEnd"/>
            <w:r w:rsidR="00BF79DC">
              <w:rPr>
                <w:rFonts w:ascii="Arial" w:hAnsi="Arial" w:cs="Arial"/>
              </w:rPr>
              <w:t xml:space="preserve"> or the declaration will be rejected.</w:t>
            </w:r>
          </w:p>
          <w:p w:rsidR="000144A4" w:rsidP="00CD115F" w:rsidRDefault="000144A4" w14:paraId="45F5AEF7" w14:textId="77777777">
            <w:pPr>
              <w:spacing w:after="0"/>
              <w:rPr>
                <w:rFonts w:ascii="Arial" w:hAnsi="Arial" w:cs="Arial"/>
              </w:rPr>
            </w:pPr>
          </w:p>
          <w:p w:rsidR="0015151C" w:rsidP="00CD115F" w:rsidRDefault="00C54EE1" w14:paraId="054AB931" w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Tax type 640 and National Additional Code X640 only apply to commodity code </w:t>
            </w:r>
            <w:r w:rsidR="00EE33D0">
              <w:rPr>
                <w:rFonts w:ascii="Arial" w:hAnsi="Arial" w:cs="Arial"/>
              </w:rPr>
              <w:t>8543400000.  They must not be used for any other commodity codes where tax type 633 and National Additional Code X633</w:t>
            </w:r>
            <w:r w:rsidR="00B625BD">
              <w:rPr>
                <w:rFonts w:ascii="Arial" w:hAnsi="Arial" w:cs="Arial"/>
              </w:rPr>
              <w:t xml:space="preserve"> </w:t>
            </w:r>
            <w:r w:rsidR="00DE04B5">
              <w:rPr>
                <w:rFonts w:ascii="Arial" w:hAnsi="Arial" w:cs="Arial"/>
              </w:rPr>
              <w:t xml:space="preserve">are applicable.  </w:t>
            </w:r>
          </w:p>
          <w:p w:rsidR="0015151C" w:rsidP="00CD115F" w:rsidRDefault="0015151C" w14:paraId="42A6A7F5" w14:textId="77777777">
            <w:pPr>
              <w:spacing w:after="0"/>
              <w:rPr>
                <w:rFonts w:ascii="Arial" w:hAnsi="Arial" w:cs="Arial"/>
              </w:rPr>
            </w:pPr>
          </w:p>
          <w:p w:rsidRPr="00CD115F" w:rsidR="000144A4" w:rsidP="00CD115F" w:rsidRDefault="00DE04B5" w14:paraId="03A90261" w14:textId="221E844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 unit codes KTC or CTG are only required for commodity code 8543400000</w:t>
            </w:r>
            <w:r w:rsidR="00853808">
              <w:rPr>
                <w:rFonts w:ascii="Arial" w:hAnsi="Arial" w:cs="Arial"/>
              </w:rPr>
              <w:t xml:space="preserve"> and are not required to support </w:t>
            </w:r>
            <w:r w:rsidR="0015151C">
              <w:rPr>
                <w:rFonts w:ascii="Arial" w:hAnsi="Arial" w:cs="Arial"/>
              </w:rPr>
              <w:t xml:space="preserve">tax type 633 and </w:t>
            </w:r>
            <w:r w:rsidR="005D417B">
              <w:rPr>
                <w:rFonts w:ascii="Arial" w:hAnsi="Arial" w:cs="Arial"/>
              </w:rPr>
              <w:t>N</w:t>
            </w:r>
            <w:r w:rsidR="0015151C">
              <w:rPr>
                <w:rFonts w:ascii="Arial" w:hAnsi="Arial" w:cs="Arial"/>
              </w:rPr>
              <w:t>ational Additional Code X633</w:t>
            </w:r>
            <w:r w:rsidR="00853808">
              <w:rPr>
                <w:rFonts w:ascii="Arial" w:hAnsi="Arial" w:cs="Arial"/>
              </w:rPr>
              <w:t xml:space="preserve"> against any other commodity codes.</w:t>
            </w:r>
          </w:p>
          <w:p w:rsidRPr="006760FB" w:rsidR="00AC22CD" w:rsidP="00AC22CD" w:rsidRDefault="00AC22CD" w14:paraId="23EE49E1" w14:textId="22744B6F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</w:tr>
    </w:tbl>
    <w:p w:rsidRPr="00C379E1" w:rsidR="00FE7D29" w:rsidRDefault="0047565C" w14:paraId="723A27D5" w14:textId="04B16AF0">
      <w:pPr>
        <w:rPr>
          <w:rFonts w:ascii="Arial" w:hAnsi="Arial" w:cs="Arial"/>
        </w:rPr>
      </w:pPr>
      <w:r w:rsidRPr="00C379E1">
        <w:rPr>
          <w:rFonts w:ascii="Arial" w:hAnsi="Arial" w:cs="Arial"/>
          <w:b/>
          <w:bCs/>
        </w:rPr>
        <w:lastRenderedPageBreak/>
        <w:br/>
      </w:r>
    </w:p>
    <w:p w:rsidRPr="00C379E1" w:rsidR="00C774D9" w:rsidRDefault="00FE7D29" w14:paraId="4F434E77" w14:textId="6617FDF5">
      <w:pPr>
        <w:rPr>
          <w:rFonts w:ascii="Arial" w:hAnsi="Arial" w:cs="Arial"/>
        </w:rPr>
      </w:pPr>
      <w:r w:rsidRPr="00C379E1">
        <w:rPr>
          <w:rFonts w:ascii="Arial" w:hAnsi="Arial" w:cs="Arial"/>
        </w:rPr>
        <w:t>N</w:t>
      </w:r>
      <w:r w:rsidRPr="00C379E1" w:rsidR="0047565C">
        <w:rPr>
          <w:rFonts w:ascii="Arial" w:hAnsi="Arial" w:cs="Arial"/>
        </w:rPr>
        <w:t xml:space="preserve">ew codes </w:t>
      </w:r>
      <w:r w:rsidR="00487356">
        <w:rPr>
          <w:rFonts w:ascii="Arial" w:hAnsi="Arial" w:cs="Arial"/>
        </w:rPr>
        <w:t xml:space="preserve">will be updated ASAP after the release has gone live and </w:t>
      </w:r>
      <w:r w:rsidRPr="00C379E1" w:rsidR="0047565C">
        <w:rPr>
          <w:rFonts w:ascii="Arial" w:hAnsi="Arial" w:cs="Arial"/>
        </w:rPr>
        <w:t>can be found at the following links:</w:t>
      </w:r>
    </w:p>
    <w:p w:rsidRPr="00C379E1" w:rsidR="00C774D9" w:rsidRDefault="0047565C" w14:paraId="4F434E79" w14:textId="77777777">
      <w:pPr>
        <w:rPr>
          <w:rFonts w:ascii="Arial" w:hAnsi="Arial" w:cs="Arial"/>
        </w:rPr>
      </w:pPr>
      <w:r w:rsidRPr="00C379E1">
        <w:rPr>
          <w:rFonts w:ascii="Arial" w:hAnsi="Arial" w:cs="Arial"/>
          <w:b/>
          <w:bCs/>
        </w:rPr>
        <w:t xml:space="preserve">Appendix 5 – Documents and Other Reference Codes: </w:t>
      </w:r>
      <w:hyperlink w:history="1" r:id="rId11">
        <w:r w:rsidRPr="00C379E1">
          <w:rPr>
            <w:rStyle w:val="Hyperlink"/>
            <w:rFonts w:ascii="Arial" w:hAnsi="Arial" w:cs="Arial"/>
            <w:b/>
            <w:bCs/>
          </w:rPr>
          <w:t>https://www.gov.uk/government/collections/data-ele</w:t>
        </w:r>
        <w:bookmarkStart w:name="_Hlt144981747" w:id="1"/>
        <w:bookmarkStart w:name="_Hlt144981748" w:id="2"/>
        <w:r w:rsidRPr="00C379E1">
          <w:rPr>
            <w:rStyle w:val="Hyperlink"/>
            <w:rFonts w:ascii="Arial" w:hAnsi="Arial" w:cs="Arial"/>
            <w:b/>
            <w:bCs/>
          </w:rPr>
          <w:t>m</w:t>
        </w:r>
        <w:bookmarkEnd w:id="1"/>
        <w:bookmarkEnd w:id="2"/>
        <w:r w:rsidRPr="00C379E1">
          <w:rPr>
            <w:rStyle w:val="Hyperlink"/>
            <w:rFonts w:ascii="Arial" w:hAnsi="Arial" w:cs="Arial"/>
            <w:b/>
            <w:bCs/>
          </w:rPr>
          <w:t>ent-23-documents-and-other-reference-codes-of-the-customs-declaration-service-cds</w:t>
        </w:r>
      </w:hyperlink>
    </w:p>
    <w:p w:rsidR="00E61179" w:rsidRDefault="00E61179" w14:paraId="574A7535" w14:textId="3C0C4B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19</w:t>
      </w:r>
      <w:r w:rsidR="005A424F">
        <w:rPr>
          <w:rFonts w:ascii="Arial" w:hAnsi="Arial" w:cs="Arial"/>
          <w:b/>
          <w:bCs/>
        </w:rPr>
        <w:t xml:space="preserve"> – National </w:t>
      </w:r>
      <w:r>
        <w:rPr>
          <w:rFonts w:ascii="Arial" w:hAnsi="Arial" w:cs="Arial"/>
          <w:b/>
          <w:bCs/>
        </w:rPr>
        <w:t>Additional Codes</w:t>
      </w:r>
      <w:r w:rsidR="005A424F">
        <w:rPr>
          <w:rFonts w:ascii="Arial" w:hAnsi="Arial" w:cs="Arial"/>
          <w:b/>
          <w:bCs/>
        </w:rPr>
        <w:t xml:space="preserve">: </w:t>
      </w:r>
      <w:hyperlink w:history="1" r:id="rId12">
        <w:r w:rsidRPr="005530A7" w:rsidR="005A424F">
          <w:rPr>
            <w:rStyle w:val="Hyperlink"/>
            <w:rFonts w:ascii="Arial" w:hAnsi="Arial" w:cs="Arial"/>
            <w:b/>
            <w:bCs/>
          </w:rPr>
          <w:t>https://www.gov.uk/government/publications/national-additional-codes-to-declare-with-data-element-617-of-the-customs-declaration-service</w:t>
        </w:r>
      </w:hyperlink>
    </w:p>
    <w:p w:rsidR="00C774D9" w:rsidRDefault="00BD698D" w14:paraId="4F434E7D" w14:textId="2C123E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Appendix </w:t>
      </w:r>
      <w:r w:rsidR="00E61179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– Measurement Unit Codes:</w:t>
      </w:r>
      <w:r w:rsidR="005A424F">
        <w:rPr>
          <w:rFonts w:ascii="Arial" w:hAnsi="Arial" w:cs="Arial"/>
          <w:b/>
          <w:bCs/>
        </w:rPr>
        <w:t xml:space="preserve"> </w:t>
      </w:r>
      <w:hyperlink w:history="1" r:id="rId13">
        <w:r w:rsidRPr="005530A7" w:rsidR="005A424F">
          <w:rPr>
            <w:rStyle w:val="Hyperlink"/>
            <w:rFonts w:ascii="Arial" w:hAnsi="Arial" w:cs="Arial"/>
            <w:b/>
            <w:bCs/>
          </w:rPr>
          <w:t>https://www.gov.uk/government/publications/measurement-unit-codes-for-data-elements-23-and-44-of-the-customs-declaration-service</w:t>
        </w:r>
      </w:hyperlink>
    </w:p>
    <w:p w:rsidRPr="00C379E1" w:rsidR="005A424F" w:rsidRDefault="005A424F" w14:paraId="6801106C" w14:textId="77777777">
      <w:pPr>
        <w:rPr>
          <w:rFonts w:ascii="Arial" w:hAnsi="Arial" w:cs="Arial"/>
          <w:b/>
          <w:bCs/>
        </w:rPr>
      </w:pPr>
    </w:p>
    <w:sectPr w:rsidRPr="00C379E1" w:rsidR="005A424F" w:rsidSect="002C41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770B5" w14:textId="77777777" w:rsidR="00127342" w:rsidRDefault="00127342">
      <w:pPr>
        <w:spacing w:after="0"/>
      </w:pPr>
      <w:r>
        <w:separator/>
      </w:r>
    </w:p>
  </w:endnote>
  <w:endnote w:type="continuationSeparator" w:id="0">
    <w:p w14:paraId="0F369FB5" w14:textId="77777777" w:rsidR="00127342" w:rsidRDefault="001273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2419" w14:textId="77777777" w:rsidR="0047565C" w:rsidRDefault="00475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4E45" w14:textId="77777777" w:rsidR="00C379E1" w:rsidRDefault="004756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34E3B" wp14:editId="4F434E3C">
              <wp:simplePos x="0" y="0"/>
              <wp:positionH relativeFrom="page">
                <wp:posOffset>0</wp:posOffset>
              </wp:positionH>
              <wp:positionV relativeFrom="page">
                <wp:posOffset>10227948</wp:posOffset>
              </wp:positionV>
              <wp:extent cx="7560314" cy="272418"/>
              <wp:effectExtent l="0" t="0" r="0" b="13332"/>
              <wp:wrapNone/>
              <wp:docPr id="1" name="MSIPCM88fe4167a7c04221c2de68da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7241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F434E3D" w14:textId="77777777" w:rsidR="00C379E1" w:rsidRDefault="0047565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34E3B" id="_x0000_t202" coordsize="21600,21600" o:spt="202" path="m,l,21600r21600,l21600,xe">
              <v:stroke joinstyle="miter"/>
              <v:path gradientshapeok="t" o:connecttype="rect"/>
            </v:shapetype>
            <v:shape id="MSIPCM88fe4167a7c04221c2de68da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" filled="f" stroked="f">
              <v:textbox inset=",0,,0">
                <w:txbxContent>
                  <w:p w14:paraId="4F434E3D" w14:textId="77777777" w:rsidR="00C379E1" w:rsidRDefault="0047565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AF54" w14:textId="77777777" w:rsidR="0047565C" w:rsidRDefault="00475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65B54" w14:textId="77777777" w:rsidR="00127342" w:rsidRDefault="0012734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6E0056" w14:textId="77777777" w:rsidR="00127342" w:rsidRDefault="001273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C7659" w14:textId="77777777" w:rsidR="0047565C" w:rsidRDefault="00475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9467" w14:textId="77777777" w:rsidR="0047565C" w:rsidRDefault="00475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209A" w14:textId="77777777" w:rsidR="0047565C" w:rsidRDefault="00475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94EC2"/>
    <w:multiLevelType w:val="hybridMultilevel"/>
    <w:tmpl w:val="3E3C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6766"/>
    <w:multiLevelType w:val="hybridMultilevel"/>
    <w:tmpl w:val="108A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B3A5F"/>
    <w:multiLevelType w:val="hybridMultilevel"/>
    <w:tmpl w:val="FBB63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3B62"/>
    <w:multiLevelType w:val="hybridMultilevel"/>
    <w:tmpl w:val="C5CE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B765F"/>
    <w:multiLevelType w:val="hybridMultilevel"/>
    <w:tmpl w:val="B8A4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E7950"/>
    <w:multiLevelType w:val="hybridMultilevel"/>
    <w:tmpl w:val="88FE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F063C"/>
    <w:multiLevelType w:val="hybridMultilevel"/>
    <w:tmpl w:val="D3B8D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26720"/>
    <w:multiLevelType w:val="hybridMultilevel"/>
    <w:tmpl w:val="EDC0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65CF9"/>
    <w:multiLevelType w:val="hybridMultilevel"/>
    <w:tmpl w:val="0ECC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746431">
    <w:abstractNumId w:val="7"/>
  </w:num>
  <w:num w:numId="2" w16cid:durableId="14117732">
    <w:abstractNumId w:val="1"/>
  </w:num>
  <w:num w:numId="3" w16cid:durableId="236985172">
    <w:abstractNumId w:val="0"/>
  </w:num>
  <w:num w:numId="4" w16cid:durableId="669530550">
    <w:abstractNumId w:val="5"/>
  </w:num>
  <w:num w:numId="5" w16cid:durableId="726493636">
    <w:abstractNumId w:val="4"/>
  </w:num>
  <w:num w:numId="6" w16cid:durableId="1800103587">
    <w:abstractNumId w:val="2"/>
  </w:num>
  <w:num w:numId="7" w16cid:durableId="1656835133">
    <w:abstractNumId w:val="8"/>
  </w:num>
  <w:num w:numId="8" w16cid:durableId="497577675">
    <w:abstractNumId w:val="3"/>
  </w:num>
  <w:num w:numId="9" w16cid:durableId="1785079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D9"/>
    <w:rsid w:val="00000C6A"/>
    <w:rsid w:val="00012C55"/>
    <w:rsid w:val="00014358"/>
    <w:rsid w:val="000144A4"/>
    <w:rsid w:val="00042B4D"/>
    <w:rsid w:val="00046C8C"/>
    <w:rsid w:val="00053288"/>
    <w:rsid w:val="00070B7A"/>
    <w:rsid w:val="00071DE0"/>
    <w:rsid w:val="00081599"/>
    <w:rsid w:val="000B3A63"/>
    <w:rsid w:val="000C6C85"/>
    <w:rsid w:val="000D4FF8"/>
    <w:rsid w:val="000E33BF"/>
    <w:rsid w:val="00127342"/>
    <w:rsid w:val="001456E4"/>
    <w:rsid w:val="0015151C"/>
    <w:rsid w:val="00157488"/>
    <w:rsid w:val="00164514"/>
    <w:rsid w:val="001758EA"/>
    <w:rsid w:val="001820BB"/>
    <w:rsid w:val="00183744"/>
    <w:rsid w:val="001948A5"/>
    <w:rsid w:val="001A39AF"/>
    <w:rsid w:val="001A40F3"/>
    <w:rsid w:val="001A6AF2"/>
    <w:rsid w:val="001B1967"/>
    <w:rsid w:val="001B25F4"/>
    <w:rsid w:val="001B5410"/>
    <w:rsid w:val="001D2364"/>
    <w:rsid w:val="001D5F22"/>
    <w:rsid w:val="001D7B0F"/>
    <w:rsid w:val="001E1BF3"/>
    <w:rsid w:val="002218EF"/>
    <w:rsid w:val="00234ED6"/>
    <w:rsid w:val="002426F7"/>
    <w:rsid w:val="002439F8"/>
    <w:rsid w:val="00257DA7"/>
    <w:rsid w:val="00266D67"/>
    <w:rsid w:val="002675C2"/>
    <w:rsid w:val="002753D1"/>
    <w:rsid w:val="00277237"/>
    <w:rsid w:val="0028528C"/>
    <w:rsid w:val="00287927"/>
    <w:rsid w:val="00295C80"/>
    <w:rsid w:val="002A5B4E"/>
    <w:rsid w:val="002B2CF1"/>
    <w:rsid w:val="002C415D"/>
    <w:rsid w:val="002C6BB5"/>
    <w:rsid w:val="002D27B8"/>
    <w:rsid w:val="002D3A49"/>
    <w:rsid w:val="002D64C5"/>
    <w:rsid w:val="002D7AC9"/>
    <w:rsid w:val="0030362C"/>
    <w:rsid w:val="00350B7E"/>
    <w:rsid w:val="0036440D"/>
    <w:rsid w:val="00370C17"/>
    <w:rsid w:val="00386089"/>
    <w:rsid w:val="003C0872"/>
    <w:rsid w:val="003D0C74"/>
    <w:rsid w:val="004171EF"/>
    <w:rsid w:val="00432725"/>
    <w:rsid w:val="00434CA9"/>
    <w:rsid w:val="0044377E"/>
    <w:rsid w:val="0044608B"/>
    <w:rsid w:val="0046309D"/>
    <w:rsid w:val="004720AA"/>
    <w:rsid w:val="0047565C"/>
    <w:rsid w:val="00483EE0"/>
    <w:rsid w:val="00487356"/>
    <w:rsid w:val="004B0B9C"/>
    <w:rsid w:val="004B4485"/>
    <w:rsid w:val="004C02FC"/>
    <w:rsid w:val="004D2AF1"/>
    <w:rsid w:val="004D5F44"/>
    <w:rsid w:val="004D7376"/>
    <w:rsid w:val="004E07F5"/>
    <w:rsid w:val="004F117D"/>
    <w:rsid w:val="00530484"/>
    <w:rsid w:val="005356C1"/>
    <w:rsid w:val="005411F1"/>
    <w:rsid w:val="0057675E"/>
    <w:rsid w:val="005A424F"/>
    <w:rsid w:val="005A6E05"/>
    <w:rsid w:val="005C3AA0"/>
    <w:rsid w:val="005D31B7"/>
    <w:rsid w:val="005D417B"/>
    <w:rsid w:val="005D5999"/>
    <w:rsid w:val="005D64C4"/>
    <w:rsid w:val="005E1A2C"/>
    <w:rsid w:val="00600E72"/>
    <w:rsid w:val="00620FE5"/>
    <w:rsid w:val="006373A5"/>
    <w:rsid w:val="006413C9"/>
    <w:rsid w:val="006760FB"/>
    <w:rsid w:val="00691FD1"/>
    <w:rsid w:val="00693078"/>
    <w:rsid w:val="0069616E"/>
    <w:rsid w:val="00696636"/>
    <w:rsid w:val="006976FE"/>
    <w:rsid w:val="006A0BA8"/>
    <w:rsid w:val="006C66B9"/>
    <w:rsid w:val="006D3734"/>
    <w:rsid w:val="006D4A11"/>
    <w:rsid w:val="006E07FF"/>
    <w:rsid w:val="006E1A0F"/>
    <w:rsid w:val="006F4193"/>
    <w:rsid w:val="00720018"/>
    <w:rsid w:val="00733A7B"/>
    <w:rsid w:val="007439CA"/>
    <w:rsid w:val="00752750"/>
    <w:rsid w:val="007A4F5B"/>
    <w:rsid w:val="007B17F0"/>
    <w:rsid w:val="007B78EE"/>
    <w:rsid w:val="007C488F"/>
    <w:rsid w:val="007C5632"/>
    <w:rsid w:val="007D3C2C"/>
    <w:rsid w:val="00802166"/>
    <w:rsid w:val="00811FF8"/>
    <w:rsid w:val="008227E6"/>
    <w:rsid w:val="00831DE3"/>
    <w:rsid w:val="00847C51"/>
    <w:rsid w:val="008508EE"/>
    <w:rsid w:val="00853808"/>
    <w:rsid w:val="008615D7"/>
    <w:rsid w:val="0087589E"/>
    <w:rsid w:val="00877E8F"/>
    <w:rsid w:val="008843CC"/>
    <w:rsid w:val="008B07DB"/>
    <w:rsid w:val="008B24A5"/>
    <w:rsid w:val="008E1E40"/>
    <w:rsid w:val="008F1709"/>
    <w:rsid w:val="008F3568"/>
    <w:rsid w:val="00907A0D"/>
    <w:rsid w:val="009247A6"/>
    <w:rsid w:val="00927650"/>
    <w:rsid w:val="00932F88"/>
    <w:rsid w:val="0094675F"/>
    <w:rsid w:val="00994F4C"/>
    <w:rsid w:val="009A1127"/>
    <w:rsid w:val="009B062E"/>
    <w:rsid w:val="009B28D7"/>
    <w:rsid w:val="00A258EC"/>
    <w:rsid w:val="00A373E3"/>
    <w:rsid w:val="00A52792"/>
    <w:rsid w:val="00A57ECD"/>
    <w:rsid w:val="00A92D1A"/>
    <w:rsid w:val="00A9418A"/>
    <w:rsid w:val="00AB2A8C"/>
    <w:rsid w:val="00AC22CD"/>
    <w:rsid w:val="00AD5540"/>
    <w:rsid w:val="00AE02B3"/>
    <w:rsid w:val="00AE7D58"/>
    <w:rsid w:val="00AF6D2F"/>
    <w:rsid w:val="00B13B98"/>
    <w:rsid w:val="00B35CA6"/>
    <w:rsid w:val="00B625BD"/>
    <w:rsid w:val="00B73D5A"/>
    <w:rsid w:val="00B74975"/>
    <w:rsid w:val="00B80574"/>
    <w:rsid w:val="00B83672"/>
    <w:rsid w:val="00BA56C2"/>
    <w:rsid w:val="00BC2ACD"/>
    <w:rsid w:val="00BD3EA2"/>
    <w:rsid w:val="00BD698D"/>
    <w:rsid w:val="00BE79EF"/>
    <w:rsid w:val="00BF79DC"/>
    <w:rsid w:val="00C02BF5"/>
    <w:rsid w:val="00C25010"/>
    <w:rsid w:val="00C27F0C"/>
    <w:rsid w:val="00C354BD"/>
    <w:rsid w:val="00C379E1"/>
    <w:rsid w:val="00C52065"/>
    <w:rsid w:val="00C527C3"/>
    <w:rsid w:val="00C54EE1"/>
    <w:rsid w:val="00C55AD4"/>
    <w:rsid w:val="00C774D9"/>
    <w:rsid w:val="00CB7054"/>
    <w:rsid w:val="00CD115F"/>
    <w:rsid w:val="00D066CF"/>
    <w:rsid w:val="00D139F6"/>
    <w:rsid w:val="00D21690"/>
    <w:rsid w:val="00D26757"/>
    <w:rsid w:val="00D45999"/>
    <w:rsid w:val="00D54B3B"/>
    <w:rsid w:val="00D56CD5"/>
    <w:rsid w:val="00D7133A"/>
    <w:rsid w:val="00D875D9"/>
    <w:rsid w:val="00DA7452"/>
    <w:rsid w:val="00DA7B7C"/>
    <w:rsid w:val="00DC6A0C"/>
    <w:rsid w:val="00DE04B5"/>
    <w:rsid w:val="00DE77E2"/>
    <w:rsid w:val="00DF7424"/>
    <w:rsid w:val="00E203FD"/>
    <w:rsid w:val="00E25DC6"/>
    <w:rsid w:val="00E33BEF"/>
    <w:rsid w:val="00E34130"/>
    <w:rsid w:val="00E61179"/>
    <w:rsid w:val="00E63F10"/>
    <w:rsid w:val="00E90974"/>
    <w:rsid w:val="00E960D8"/>
    <w:rsid w:val="00EA1C2C"/>
    <w:rsid w:val="00EA3D52"/>
    <w:rsid w:val="00EB0491"/>
    <w:rsid w:val="00EC1101"/>
    <w:rsid w:val="00ED5DA3"/>
    <w:rsid w:val="00EE07E2"/>
    <w:rsid w:val="00EE33D0"/>
    <w:rsid w:val="00EE58B1"/>
    <w:rsid w:val="00EE6803"/>
    <w:rsid w:val="00F062D0"/>
    <w:rsid w:val="00F32B52"/>
    <w:rsid w:val="00F369B1"/>
    <w:rsid w:val="00F46700"/>
    <w:rsid w:val="00F57501"/>
    <w:rsid w:val="00F57860"/>
    <w:rsid w:val="00F71E05"/>
    <w:rsid w:val="00F852F2"/>
    <w:rsid w:val="00F9090C"/>
    <w:rsid w:val="00F96964"/>
    <w:rsid w:val="00FA4D94"/>
    <w:rsid w:val="00FC0C4F"/>
    <w:rsid w:val="00FC6219"/>
    <w:rsid w:val="00FE59AD"/>
    <w:rsid w:val="00FE5E7E"/>
    <w:rsid w:val="00FE7179"/>
    <w:rsid w:val="00FE7D29"/>
    <w:rsid w:val="00FF1001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34E3B"/>
  <w15:docId w15:val="{52381125-6799-49C5-A1CF-64801885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B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measurement-unit-codes-for-data-elements-23-and-44-of-the-customs-declaration-servic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national-additional-codes-to-declare-with-data-element-617-of-the-customs-declaration-servi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data-element-23-documents-and-other-reference-codes-of-the-customs-declaration-service-c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7EC0D83517342BF48ECAF3D0FE7A5" ma:contentTypeVersion="19" ma:contentTypeDescription="Create a new document." ma:contentTypeScope="" ma:versionID="d6f164f7b558ed22c3c94b313a4feaab">
  <xsd:schema xmlns:xsd="http://www.w3.org/2001/XMLSchema" xmlns:xs="http://www.w3.org/2001/XMLSchema" xmlns:p="http://schemas.microsoft.com/office/2006/metadata/properties" xmlns:ns1="http://schemas.microsoft.com/sharepoint/v3" xmlns:ns2="39f52ebb-298d-490a-8432-ae788cfce4e2" xmlns:ns3="71701622-6065-471c-989e-c05421908ccb" targetNamespace="http://schemas.microsoft.com/office/2006/metadata/properties" ma:root="true" ma:fieldsID="45e5ae82dce142d71fc236272fd1678b" ns1:_="" ns2:_="" ns3:_="">
    <xsd:import namespace="http://schemas.microsoft.com/sharepoint/v3"/>
    <xsd:import namespace="39f52ebb-298d-490a-8432-ae788cfce4e2"/>
    <xsd:import namespace="71701622-6065-471c-989e-c05421908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52ebb-298d-490a-8432-ae788cfce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01622-6065-471c-989e-c05421908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953415-c854-459e-ad36-5b01f7229ca5}" ma:internalName="TaxCatchAll" ma:showField="CatchAllData" ma:web="71701622-6065-471c-989e-c05421908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9f52ebb-298d-490a-8432-ae788cfce4e2">
      <Terms xmlns="http://schemas.microsoft.com/office/infopath/2007/PartnerControls"/>
    </lcf76f155ced4ddcb4097134ff3c332f>
    <TaxCatchAll xmlns="71701622-6065-471c-989e-c05421908c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E26B-1DAF-47D0-9C23-D2E7DC9E4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52ebb-298d-490a-8432-ae788cfce4e2"/>
    <ds:schemaRef ds:uri="71701622-6065-471c-989e-c05421908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10FAF-D5CD-49DE-9439-C89AC1658A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52ebb-298d-490a-8432-ae788cfce4e2"/>
    <ds:schemaRef ds:uri="71701622-6065-471c-989e-c05421908ccb"/>
  </ds:schemaRefs>
</ds:datastoreItem>
</file>

<file path=customXml/itemProps3.xml><?xml version="1.0" encoding="utf-8"?>
<ds:datastoreItem xmlns:ds="http://schemas.openxmlformats.org/officeDocument/2006/customXml" ds:itemID="{7AB67D40-1198-43FC-BD4D-5F855BB3F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3F469-0E0A-41F4-BFCE-D1AFFD66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4.6.1 Guidance for traders 241202</dc:title>
  <dc:subject>
  </dc:subject>
  <dc:creator>Grindrod, Paul (CP&amp;S)</dc:creator>
  <dc:description>
  </dc:description>
  <cp:lastModifiedBy>danielc</cp:lastModifiedBy>
  <cp:revision>2</cp:revision>
  <dcterms:created xsi:type="dcterms:W3CDTF">2024-12-04T14:44:00Z</dcterms:created>
  <dcterms:modified xsi:type="dcterms:W3CDTF">2024-12-05T12:44:29Z</dcterms:modified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2023-06-12T09:45:02Z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8baee48b-5d59-4fee-9e9c-2b671a57d053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0x0101006F47EC0D83517342BF48ECAF3D0FE7A5</vt:lpwstr>
  </property>
  <property fmtid="{D5CDD505-2E9C-101B-9397-08002B2CF9AE}" pid="10" name="MediaServiceImageTags">
    <vt:lpwstr/>
  </property>
</Properties>
</file>